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92" w:rsidRDefault="008E2792" w:rsidP="008E2792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«Закон» 2018 г. № 7 </w:t>
      </w:r>
    </w:p>
    <w:p w:rsidR="008E2792" w:rsidRDefault="008E2792" w:rsidP="008E279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Комментарий к Постановлению Пленума Верховного суда РФ от 26 июня 2018 № 27 «Об оспаривании крупных сделок и сделок, в совершении которых имеется заинтересованность» </w:t>
      </w:r>
    </w:p>
    <w:p w:rsidR="008E2792" w:rsidRDefault="008E2792" w:rsidP="008E2792">
      <w:pPr>
        <w:pStyle w:val="a7"/>
        <w:spacing w:after="240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Ирина Шиткина </w:t>
      </w:r>
    </w:p>
    <w:p w:rsidR="008E2792" w:rsidRDefault="008E2792" w:rsidP="008E2792">
      <w:pPr>
        <w:pStyle w:val="a7"/>
        <w:spacing w:after="2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профессор кафедры предпринимательского права МГУ им. М.В. Ломоносова, управляющий партнер компании «Шиткина и партнеры», доктор юридических наук</w:t>
      </w:r>
    </w:p>
    <w:p w:rsidR="008E2792" w:rsidRDefault="008E2792" w:rsidP="008E2792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— Принятие Постановления стало ожидаемым событием, исходя из нужд правоприменительной практики. Действительно, с 1 января 2017 г., когда вступил в силу Закон № 343-ФЗ</w:t>
      </w:r>
      <w:r>
        <w:rPr>
          <w:rStyle w:val="a9"/>
          <w:rFonts w:asciiTheme="minorHAnsi" w:hAnsiTheme="minorHAnsi"/>
          <w:sz w:val="24"/>
          <w:szCs w:val="24"/>
          <w:vertAlign w:val="baseline"/>
        </w:rPr>
        <w:footnoteReference w:id="1"/>
      </w:r>
      <w:r>
        <w:rPr>
          <w:sz w:val="24"/>
          <w:szCs w:val="24"/>
        </w:rPr>
        <w:t>, институты крупных сделок и сделок, в совершении которых имеется заинтересованность, подверглись существенному реформированию.</w:t>
      </w:r>
    </w:p>
    <w:p w:rsidR="008E2792" w:rsidRDefault="008E2792" w:rsidP="008E2792">
      <w:pPr>
        <w:pStyle w:val="a5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Применительно </w:t>
      </w:r>
      <w:r>
        <w:rPr>
          <w:rFonts w:asciiTheme="minorHAnsi" w:hAnsiTheme="minorHAnsi"/>
          <w:b/>
          <w:i/>
          <w:sz w:val="24"/>
          <w:szCs w:val="24"/>
        </w:rPr>
        <w:t>к обжалованию сделок</w:t>
      </w:r>
      <w:r>
        <w:rPr>
          <w:rFonts w:asciiTheme="minorHAnsi" w:hAnsiTheme="minorHAnsi"/>
          <w:sz w:val="24"/>
          <w:szCs w:val="24"/>
        </w:rPr>
        <w:t xml:space="preserve"> Постановление последовательно отражает концепцию нового законодательства, что так называемые экстраординарные сделки могут быть признаны недействительными по общим основаниям, предусмотренным в Гражданском кодексе (ГК) РФ, с учетом особенностей, установленных законами о хозяйственных обществах. При этом, например, невозможность квалификации сделки в качестве сделки, в совершении которой имеется заинтересованность, не препятствует суду признать ее недействительной при явном ущербе, причиненном обществу, или при сговоре с контрагентом на основании п. 2 ст. 174 ГК РФ, а также по другим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основаниям, предусмотренным Кодексом.</w:t>
      </w:r>
    </w:p>
    <w:p w:rsidR="008E2792" w:rsidRDefault="008E2792" w:rsidP="008E2792">
      <w:pPr>
        <w:tabs>
          <w:tab w:val="left" w:pos="1335"/>
        </w:tabs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Пленум указывает, что </w:t>
      </w:r>
      <w:r>
        <w:rPr>
          <w:b/>
          <w:i/>
          <w:sz w:val="24"/>
          <w:szCs w:val="24"/>
        </w:rPr>
        <w:t>для квалификации сделки как крупной</w:t>
      </w:r>
      <w:r>
        <w:rPr>
          <w:sz w:val="24"/>
          <w:szCs w:val="24"/>
        </w:rPr>
        <w:t xml:space="preserve"> необходимо соблюдение одновременно двух критериев: </w:t>
      </w:r>
      <w:r>
        <w:rPr>
          <w:i/>
          <w:sz w:val="24"/>
          <w:szCs w:val="24"/>
        </w:rPr>
        <w:t xml:space="preserve">количественного </w:t>
      </w:r>
      <w:r>
        <w:rPr>
          <w:sz w:val="24"/>
          <w:szCs w:val="24"/>
        </w:rPr>
        <w:t xml:space="preserve">(соотношение имущества по сделке с балансовой стоимостью активов) и </w:t>
      </w:r>
      <w:r>
        <w:rPr>
          <w:i/>
          <w:sz w:val="24"/>
          <w:szCs w:val="24"/>
        </w:rPr>
        <w:t xml:space="preserve">качественного </w:t>
      </w:r>
      <w:r>
        <w:rPr>
          <w:sz w:val="24"/>
          <w:szCs w:val="24"/>
        </w:rPr>
        <w:t xml:space="preserve">(сделка должна приводить </w:t>
      </w:r>
      <w:r>
        <w:rPr>
          <w:sz w:val="24"/>
          <w:szCs w:val="24"/>
          <w:lang w:eastAsia="ru-RU"/>
        </w:rPr>
        <w:t xml:space="preserve">к прекращению, изменению вида или существенному изменению масштабов деятельности общества), </w:t>
      </w:r>
      <w:r>
        <w:rPr>
          <w:sz w:val="24"/>
          <w:szCs w:val="24"/>
        </w:rPr>
        <w:t xml:space="preserve">и предпринимает попытку определить качественный критерий — масштаб деятельности общества. Так, в качестве влекущей существенное изменение масштабов деятельности общества может быть квалифицирована продажа (передача в аренду) основного актива общества, а так же </w:t>
      </w:r>
      <w:proofErr w:type="gramStart"/>
      <w:r>
        <w:rPr>
          <w:sz w:val="24"/>
          <w:szCs w:val="24"/>
        </w:rPr>
        <w:t>сделка</w:t>
      </w:r>
      <w:proofErr w:type="gramEnd"/>
      <w:r>
        <w:rPr>
          <w:sz w:val="24"/>
          <w:szCs w:val="24"/>
        </w:rPr>
        <w:t xml:space="preserve"> которая влечет для  общества существенное изменение региона деятельности или рынков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сбыта (</w:t>
      </w:r>
      <w:proofErr w:type="spellStart"/>
      <w:r>
        <w:rPr>
          <w:sz w:val="24"/>
          <w:szCs w:val="24"/>
        </w:rPr>
        <w:t>подп</w:t>
      </w:r>
      <w:proofErr w:type="spellEnd"/>
      <w:r>
        <w:rPr>
          <w:sz w:val="24"/>
          <w:szCs w:val="24"/>
        </w:rPr>
        <w:t>. 2 п. 9 Постановления). Заметим при этом, что другие качественные критерии квалификации сделок как крупных не  получили толкования 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остаются в плоскости судебного усмотрения.</w:t>
      </w:r>
    </w:p>
    <w:p w:rsidR="008E2792" w:rsidRDefault="008E2792" w:rsidP="008E2792">
      <w:pPr>
        <w:tabs>
          <w:tab w:val="left" w:pos="1335"/>
        </w:tabs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Положительно то, что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РФ представил </w:t>
      </w:r>
      <w:r>
        <w:rPr>
          <w:b/>
          <w:i/>
          <w:sz w:val="24"/>
          <w:szCs w:val="24"/>
        </w:rPr>
        <w:t xml:space="preserve">опции иного правового режима </w:t>
      </w:r>
      <w:r>
        <w:rPr>
          <w:sz w:val="24"/>
          <w:szCs w:val="24"/>
        </w:rPr>
        <w:t xml:space="preserve">совершения сделок с заинтересованностью, которые могут быть использованы непубличными обществами: например, обязательное предварительное одобрение, правила направления извещения о сделках, круг лиц, которым такое извещение направляется, порядок предъявления требования о необходимости вынести на одобрение сделку, отказ от возможности направления таких требований и т.д., в том числе путем указания на то, что применению подлежат или не подлежат только отдельные правила, содержащиеся в законе (п. 28 Постановления). </w:t>
      </w:r>
    </w:p>
    <w:p w:rsidR="008E2792" w:rsidRDefault="008E2792" w:rsidP="008E2792">
      <w:pPr>
        <w:pStyle w:val="a5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Представляется, что тем самым — путем единогласного решения об изменении устава и установлении иного порядка совершения сделок — в непубличных обществах может быть </w:t>
      </w:r>
      <w:r>
        <w:rPr>
          <w:rFonts w:asciiTheme="minorHAnsi" w:hAnsiTheme="minorHAnsi"/>
          <w:sz w:val="24"/>
          <w:szCs w:val="24"/>
        </w:rPr>
        <w:lastRenderedPageBreak/>
        <w:t>решен очень болезненный для практиков вопрос об отсутствии срока, в течение которого уполномоченные законом лица могут потребовать согласования сделок с заинтересованностью. Пленум выработал общее для всех видов хозяйственных обществ положение о возможности последующего одобрения сделки с заинтересованностью: так, требование от уполномоченных законом лиц может быть направлено также и после совершения сделки. В этом случае соответствующий орган общества рассматривает вопрос о последующем одобрении такой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сделки (п. 24 Постановления).</w:t>
      </w:r>
    </w:p>
    <w:p w:rsidR="008E2792" w:rsidRDefault="008E2792" w:rsidP="008E2792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Скажу несколько слов и о </w:t>
      </w:r>
      <w:proofErr w:type="spellStart"/>
      <w:r>
        <w:rPr>
          <w:sz w:val="24"/>
          <w:szCs w:val="24"/>
        </w:rPr>
        <w:t>нереализовавшихся</w:t>
      </w:r>
      <w:proofErr w:type="spellEnd"/>
      <w:r>
        <w:rPr>
          <w:sz w:val="24"/>
          <w:szCs w:val="24"/>
        </w:rPr>
        <w:t xml:space="preserve"> ожиданиях от судебного толкования. </w:t>
      </w:r>
      <w:r>
        <w:rPr>
          <w:sz w:val="24"/>
          <w:szCs w:val="24"/>
          <w:lang w:eastAsia="ru-RU"/>
        </w:rPr>
        <w:t xml:space="preserve">Законодатель, </w:t>
      </w:r>
      <w:r>
        <w:rPr>
          <w:sz w:val="24"/>
          <w:szCs w:val="24"/>
        </w:rPr>
        <w:t>отказавшись от применения для определения заинтересованности в сделке очень широкого понятия «</w:t>
      </w:r>
      <w:proofErr w:type="spellStart"/>
      <w:r>
        <w:rPr>
          <w:sz w:val="24"/>
          <w:szCs w:val="24"/>
        </w:rPr>
        <w:t>аффилированность</w:t>
      </w:r>
      <w:proofErr w:type="spellEnd"/>
      <w:r>
        <w:rPr>
          <w:sz w:val="24"/>
          <w:szCs w:val="24"/>
        </w:rPr>
        <w:t xml:space="preserve">», теперь использует для этих целей термин «контролирующее лицо», как известно, взятый законами о хозяйственных обществах из законодательства о рынке ценных бумаг, в котором он был определен для публично-правовых целей раскрытия информации. Вполне возможно предположить, что очень скоро российская практика столкнется с необходимостью </w:t>
      </w:r>
      <w:r>
        <w:rPr>
          <w:b/>
          <w:i/>
          <w:sz w:val="24"/>
          <w:szCs w:val="24"/>
        </w:rPr>
        <w:t>преодоления этого формального определения контролирующих лиц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целей квалификации сделок с заинтересованностью, как это произошло ранее с формальным определением </w:t>
      </w:r>
      <w:proofErr w:type="spellStart"/>
      <w:r>
        <w:rPr>
          <w:sz w:val="24"/>
          <w:szCs w:val="24"/>
        </w:rPr>
        <w:t>аффилированности</w:t>
      </w:r>
      <w:proofErr w:type="spellEnd"/>
      <w:r>
        <w:rPr>
          <w:sz w:val="24"/>
          <w:szCs w:val="24"/>
        </w:rPr>
        <w:t xml:space="preserve">. Пленум ничего не сказал о возможности распространения понятия «контролирующее лицо» за пределы формальных критериев, перечисленных в законе. </w:t>
      </w:r>
    </w:p>
    <w:p w:rsidR="008E2792" w:rsidRDefault="008E2792" w:rsidP="008E2792">
      <w:pPr>
        <w:pStyle w:val="a5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В ряде случаев </w:t>
      </w:r>
      <w:proofErr w:type="gramStart"/>
      <w:r>
        <w:rPr>
          <w:rFonts w:asciiTheme="minorHAnsi" w:hAnsiTheme="minorHAnsi"/>
          <w:sz w:val="24"/>
          <w:szCs w:val="24"/>
        </w:rPr>
        <w:t>ВС</w:t>
      </w:r>
      <w:proofErr w:type="gramEnd"/>
      <w:r>
        <w:rPr>
          <w:rFonts w:asciiTheme="minorHAnsi" w:hAnsiTheme="minorHAnsi"/>
          <w:sz w:val="24"/>
          <w:szCs w:val="24"/>
        </w:rPr>
        <w:t xml:space="preserve"> РФ дает довольно свободное толкование, пытаясь преодолеть несовершенство законодательства. Так, например, следуя за высказанной в Постановлении Пленума ВАС РФ от 16.05.2015 № 28 «О некоторых вопросах, связанных с оспариванием крупных сделок и сделок с заинтересованностью» позицией, </w:t>
      </w:r>
      <w:proofErr w:type="gramStart"/>
      <w:r>
        <w:rPr>
          <w:rFonts w:asciiTheme="minorHAnsi" w:hAnsiTheme="minorHAnsi"/>
          <w:sz w:val="24"/>
          <w:szCs w:val="24"/>
        </w:rPr>
        <w:t>ВС</w:t>
      </w:r>
      <w:proofErr w:type="gramEnd"/>
      <w:r>
        <w:rPr>
          <w:rFonts w:asciiTheme="minorHAnsi" w:hAnsiTheme="minorHAnsi"/>
          <w:sz w:val="24"/>
          <w:szCs w:val="24"/>
        </w:rPr>
        <w:t xml:space="preserve"> РФ установил, что </w:t>
      </w:r>
      <w:r>
        <w:rPr>
          <w:rFonts w:asciiTheme="minorHAnsi" w:hAnsiTheme="minorHAnsi"/>
          <w:b/>
          <w:i/>
          <w:sz w:val="24"/>
          <w:szCs w:val="24"/>
        </w:rPr>
        <w:t xml:space="preserve">отчетный период для целей квалификации сделок как крупных и с заинтересованностью </w:t>
      </w:r>
      <w:r>
        <w:rPr>
          <w:rFonts w:asciiTheme="minorHAnsi" w:hAnsiTheme="minorHAnsi"/>
          <w:sz w:val="24"/>
          <w:szCs w:val="24"/>
        </w:rPr>
        <w:t>может быть предусмотрен уставом общества, содержащим требование о составлении промежуточной бухгалтерской отчетности. Действительно, применение предусмотренного Законом о бухгалтерском учете</w:t>
      </w:r>
      <w:r>
        <w:rPr>
          <w:rStyle w:val="a9"/>
          <w:rFonts w:asciiTheme="minorHAnsi" w:hAnsiTheme="minorHAnsi"/>
          <w:sz w:val="24"/>
          <w:szCs w:val="24"/>
          <w:vertAlign w:val="baseline"/>
        </w:rPr>
        <w:footnoteReference w:id="2"/>
      </w:r>
      <w:r>
        <w:rPr>
          <w:rFonts w:asciiTheme="minorHAnsi" w:hAnsiTheme="minorHAnsi"/>
          <w:sz w:val="24"/>
          <w:szCs w:val="24"/>
        </w:rPr>
        <w:t xml:space="preserve"> общего правила об обязательности только годовой бухгалтерской отчетности выхолащивает смысл корпоративных согласований, когда между датой сдачи официальной годовой отчетности и совершением сделки может пройти значительное время. </w:t>
      </w:r>
    </w:p>
    <w:p w:rsidR="008E2792" w:rsidRDefault="008E2792" w:rsidP="008E2792">
      <w:pPr>
        <w:pStyle w:val="a5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Вообще, с моей точки зрения, </w:t>
      </w:r>
      <w:r>
        <w:rPr>
          <w:rFonts w:asciiTheme="minorHAnsi" w:hAnsiTheme="minorHAnsi"/>
          <w:b/>
          <w:i/>
          <w:sz w:val="24"/>
          <w:szCs w:val="24"/>
        </w:rPr>
        <w:t>одним из достоинств Постановления является преемственность целого ряда правовых позиций, ранее высказанных в Постановлении № 28</w:t>
      </w:r>
      <w:r>
        <w:rPr>
          <w:rFonts w:asciiTheme="minorHAnsi" w:hAnsiTheme="minorHAnsi"/>
          <w:sz w:val="24"/>
          <w:szCs w:val="24"/>
        </w:rPr>
        <w:t xml:space="preserve"> и уже активно воспринятых практикой. </w:t>
      </w:r>
      <w:proofErr w:type="gramStart"/>
      <w:r>
        <w:rPr>
          <w:rFonts w:asciiTheme="minorHAnsi" w:hAnsiTheme="minorHAnsi"/>
          <w:sz w:val="24"/>
          <w:szCs w:val="24"/>
        </w:rPr>
        <w:t xml:space="preserve">Кстати, Постановление № 28 утратило силу  за исключением  двух положений из п. 10 указанного Постановления: о возможности квалификации как крупных или сделок с заинтересованностью отдельных положений трудового договора, а также о правовых последствиях утверждения судом мировых соглашений без корпоративного одобрения, что позволит пресекать злоупотребления при выплате вознаграждений менеджменту и, по сути, сохранит мировое соглашение как эффективный правовой инструмент разрешения споров. </w:t>
      </w:r>
      <w:proofErr w:type="gramEnd"/>
    </w:p>
    <w:p w:rsidR="008E2792" w:rsidRDefault="008E2792" w:rsidP="008E2792">
      <w:pPr>
        <w:tabs>
          <w:tab w:val="left" w:pos="1444"/>
        </w:tabs>
        <w:spacing w:after="240" w:line="240" w:lineRule="auto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Целый ряд правовых позиций, содержащихся в Постановлении, направлен </w:t>
      </w:r>
      <w:r>
        <w:rPr>
          <w:b/>
          <w:i/>
          <w:sz w:val="24"/>
          <w:szCs w:val="24"/>
        </w:rPr>
        <w:t>на защиту стабильности имущественного оборота,</w:t>
      </w:r>
      <w:r>
        <w:rPr>
          <w:sz w:val="24"/>
          <w:szCs w:val="24"/>
        </w:rPr>
        <w:t xml:space="preserve"> в том числе установление, по общему правилу, срока исковой давности «по добросовестному директору» (п. 2), а в случаях, </w:t>
      </w:r>
      <w:r>
        <w:rPr>
          <w:color w:val="000000"/>
          <w:sz w:val="24"/>
          <w:szCs w:val="24"/>
          <w:shd w:val="clear" w:color="auto" w:fill="FFFFFF"/>
        </w:rPr>
        <w:t>если директор был в сговоре с другой стороной сделки, срок начинает течь с момента, когда о нарушении узнал или должен был узнать другой директор.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Только при отсутствии другого директора на момент подачи иска срок будет зависеть от осведомленности члена </w:t>
      </w:r>
      <w:r>
        <w:rPr>
          <w:color w:val="000000"/>
          <w:sz w:val="24"/>
          <w:szCs w:val="24"/>
          <w:shd w:val="clear" w:color="auto" w:fill="FFFFFF"/>
        </w:rPr>
        <w:lastRenderedPageBreak/>
        <w:t>совета директоров или участника общества.</w:t>
      </w:r>
      <w:r>
        <w:rPr>
          <w:sz w:val="24"/>
          <w:szCs w:val="24"/>
        </w:rPr>
        <w:t xml:space="preserve"> Применительно к участнику установлен перечень обстоятельств, который свидетельствует о начале течения срока исковой давности (дата раскрытия информации публичным обществом, дата проведения общего собрания по итогам года, в который была совершена сделка). </w:t>
      </w:r>
      <w:proofErr w:type="gramStart"/>
      <w:r>
        <w:rPr>
          <w:sz w:val="24"/>
          <w:szCs w:val="24"/>
        </w:rPr>
        <w:t xml:space="preserve">При этом совершенно новым является положение, которое, на мой взгляд, вызовет дискуссию в профессиональном сообществе: если приведенные в Постановлении правила о начале течения срока исковой давности не могут быть применены, то считается, что участник (акционер) в любом случае должен был узнать о совершении оспариваемой сделки более года назад (п. 2 ст. 181 ГК РФ), если он </w:t>
      </w:r>
      <w:r>
        <w:rPr>
          <w:i/>
          <w:sz w:val="24"/>
          <w:szCs w:val="24"/>
        </w:rPr>
        <w:t>длительное время (два или</w:t>
      </w:r>
      <w:proofErr w:type="gramEnd"/>
      <w:r>
        <w:rPr>
          <w:i/>
          <w:sz w:val="24"/>
          <w:szCs w:val="24"/>
        </w:rPr>
        <w:t xml:space="preserve"> более года подряд) не участвовал в общих собраниях участников (акционеров) и не запрашивал информацию о деятельности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общества.</w:t>
      </w:r>
    </w:p>
    <w:p w:rsidR="008E2792" w:rsidRDefault="008E2792" w:rsidP="008E2792">
      <w:pPr>
        <w:tabs>
          <w:tab w:val="left" w:pos="1444"/>
        </w:tabs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 есть, по мнению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РФ, заботливый и добросовестный акционер (участник) независимо от статуса хозяйственного общества — непубличное или публичное должен проявлять разумную активность по отношению к обществу, и для стимулирования этой активности установлен двухлетний срок истечения срока исковой давности для оспаривания сделок. </w:t>
      </w:r>
    </w:p>
    <w:p w:rsidR="008E2792" w:rsidRDefault="008E2792" w:rsidP="008E2792">
      <w:pPr>
        <w:pStyle w:val="a5"/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Защищая добросовестность участников имущественного оборота, Пленум </w:t>
      </w:r>
      <w:r>
        <w:rPr>
          <w:rFonts w:asciiTheme="minorHAnsi" w:hAnsiTheme="minorHAnsi"/>
          <w:b/>
          <w:i/>
          <w:sz w:val="24"/>
          <w:szCs w:val="24"/>
        </w:rPr>
        <w:t>устанавливает несколько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sz w:val="24"/>
          <w:szCs w:val="24"/>
        </w:rPr>
        <w:t>презумпций и распределяет бремя доказывания</w:t>
      </w:r>
      <w:r>
        <w:rPr>
          <w:rFonts w:asciiTheme="minorHAnsi" w:hAnsiTheme="minorHAnsi"/>
          <w:sz w:val="24"/>
          <w:szCs w:val="24"/>
        </w:rPr>
        <w:t>. Так, любая сделка общества считается совершенной в пределах обычной хозяйственной деятельности, пока не доказано иное. При этом бремя доказывания совершения оспариваемой сделки за пределами обычной хозяйственной деятельности лежит на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истце (п. 9 Постановления).</w:t>
      </w:r>
    </w:p>
    <w:p w:rsidR="008E2792" w:rsidRDefault="008E2792" w:rsidP="008E2792">
      <w:pPr>
        <w:pStyle w:val="Default"/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истца возлагается и бремя доказывания того, что другая сторона по сделке знала или заведомо должна была знать о том, что сделка являлась для общества крупной и (или) что отсутствовало надлежащее согласие на ее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 xml:space="preserve">совершение. Аналогично на истца возлагается бремя доказывания того, что другая сторона сделки знала или заведомо должна была знать о наличии элемента заинтересованности в сделке и об отсутствии согласия (одобрения) на ее совершение (п. 27 Постановления). </w:t>
      </w:r>
    </w:p>
    <w:p w:rsidR="008E2792" w:rsidRDefault="008E2792" w:rsidP="008E2792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высший суд, по сути, повторил правовую позицию, высказанную в п. 22 Постановления Пленума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РФ от 23.06.2015 № 25 «О применении судами некоторых положений раздела I части первой Гражданского кодекса Российской Федерации» относительно презумпции добросовестности третьих лиц и отсутствия у них обязанности проверять уставы контрагентов, списки </w:t>
      </w:r>
      <w:proofErr w:type="spellStart"/>
      <w:r>
        <w:rPr>
          <w:sz w:val="24"/>
          <w:szCs w:val="24"/>
        </w:rPr>
        <w:t>аффилированных</w:t>
      </w:r>
      <w:proofErr w:type="spellEnd"/>
      <w:r>
        <w:rPr>
          <w:sz w:val="24"/>
          <w:szCs w:val="24"/>
        </w:rPr>
        <w:t xml:space="preserve"> лиц, и снова декларировал применение правового принципа публичной достоверности реестра. При этом указание в соответствующем договоре (ином документе) на то, что заключившее его от имени общества лицо гарантирует, что при совершении сделки соблюдены все необходимые корпоративные процедуры и т.п., само по себе не свидетельствует о добросовестности контрагента (п. 27 комментируемого Постановления).</w:t>
      </w:r>
    </w:p>
    <w:p w:rsidR="008E2792" w:rsidRDefault="008E2792" w:rsidP="008E2792">
      <w:pPr>
        <w:spacing w:after="24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заключение хотелось бы отметить, что даже телеологическая трактовка законодательных актов и отход от </w:t>
      </w:r>
      <w:proofErr w:type="spellStart"/>
      <w:r>
        <w:rPr>
          <w:bCs/>
          <w:sz w:val="24"/>
          <w:szCs w:val="24"/>
        </w:rPr>
        <w:t>сверхпозитивизма</w:t>
      </w:r>
      <w:proofErr w:type="spellEnd"/>
      <w:r>
        <w:rPr>
          <w:bCs/>
          <w:sz w:val="24"/>
          <w:szCs w:val="24"/>
        </w:rPr>
        <w:t xml:space="preserve"> при принятии судебных решений не могут заменить некачественный нормативный акт. Эффективность правоприменительной практики в значительной степени зависит от качества законотворческой деятельности.</w:t>
      </w:r>
    </w:p>
    <w:p w:rsidR="008E2792" w:rsidRDefault="008E2792" w:rsidP="008E2792"/>
    <w:p w:rsidR="00C05C72" w:rsidRDefault="00C05C72"/>
    <w:sectPr w:rsidR="00C05C72" w:rsidSect="0059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92" w:rsidRDefault="008E2792" w:rsidP="008E2792">
      <w:pPr>
        <w:spacing w:after="0" w:line="240" w:lineRule="auto"/>
      </w:pPr>
      <w:r>
        <w:separator/>
      </w:r>
    </w:p>
  </w:endnote>
  <w:endnote w:type="continuationSeparator" w:id="0">
    <w:p w:rsidR="008E2792" w:rsidRDefault="008E2792" w:rsidP="008E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92" w:rsidRDefault="008E2792" w:rsidP="008E2792">
      <w:pPr>
        <w:spacing w:after="0" w:line="240" w:lineRule="auto"/>
      </w:pPr>
      <w:r>
        <w:separator/>
      </w:r>
    </w:p>
  </w:footnote>
  <w:footnote w:type="continuationSeparator" w:id="0">
    <w:p w:rsidR="008E2792" w:rsidRDefault="008E2792" w:rsidP="008E2792">
      <w:pPr>
        <w:spacing w:after="0" w:line="240" w:lineRule="auto"/>
      </w:pPr>
      <w:r>
        <w:continuationSeparator/>
      </w:r>
    </w:p>
  </w:footnote>
  <w:footnote w:id="1">
    <w:p w:rsidR="008E2792" w:rsidRDefault="008E2792" w:rsidP="008E2792">
      <w:pPr>
        <w:pStyle w:val="a3"/>
        <w:jc w:val="both"/>
      </w:pPr>
      <w:r>
        <w:rPr>
          <w:rStyle w:val="a9"/>
          <w:rFonts w:asciiTheme="minorHAnsi" w:hAnsiTheme="minorHAnsi"/>
          <w:vertAlign w:val="baseline"/>
        </w:rPr>
        <w:footnoteRef/>
      </w:r>
      <w:r>
        <w:t xml:space="preserve"> Федеральный закон от 03.07.2016 № 343-ФЗ «О внесении изменений в Федеральный закон</w:t>
      </w:r>
      <w:proofErr w:type="gramStart"/>
      <w:r>
        <w:t xml:space="preserve"> „О</w:t>
      </w:r>
      <w:proofErr w:type="gramEnd"/>
      <w:r>
        <w:t xml:space="preserve">б акционерных обществах“ и Федеральный закон „Об обществах с ограниченной ответственностью“ в части регулирования крупных сделок и сделок, в совершении которых имеется заинтересованность». </w:t>
      </w:r>
    </w:p>
  </w:footnote>
  <w:footnote w:id="2">
    <w:p w:rsidR="008E2792" w:rsidRDefault="008E2792" w:rsidP="008E2792">
      <w:pPr>
        <w:pStyle w:val="a3"/>
        <w:jc w:val="both"/>
      </w:pPr>
      <w:r>
        <w:rPr>
          <w:rStyle w:val="a9"/>
          <w:rFonts w:asciiTheme="minorHAnsi" w:hAnsiTheme="minorHAnsi"/>
          <w:vertAlign w:val="baseline"/>
        </w:rPr>
        <w:footnoteRef/>
      </w:r>
      <w:r>
        <w:t xml:space="preserve"> Федеральный закон от 06.12.2011 № 402-ФЗ «О бухгалтерском учете».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792"/>
    <w:rsid w:val="00002C98"/>
    <w:rsid w:val="000106A2"/>
    <w:rsid w:val="00020A2A"/>
    <w:rsid w:val="00022358"/>
    <w:rsid w:val="000400FF"/>
    <w:rsid w:val="00042013"/>
    <w:rsid w:val="00042D34"/>
    <w:rsid w:val="0005567F"/>
    <w:rsid w:val="00062A09"/>
    <w:rsid w:val="00065AE1"/>
    <w:rsid w:val="00071089"/>
    <w:rsid w:val="000732C6"/>
    <w:rsid w:val="00076FF8"/>
    <w:rsid w:val="000B5C58"/>
    <w:rsid w:val="000C7539"/>
    <w:rsid w:val="000D68BC"/>
    <w:rsid w:val="000D71A0"/>
    <w:rsid w:val="000E3377"/>
    <w:rsid w:val="000E5814"/>
    <w:rsid w:val="000E5857"/>
    <w:rsid w:val="000E6A5A"/>
    <w:rsid w:val="000F6CC9"/>
    <w:rsid w:val="00102179"/>
    <w:rsid w:val="00104863"/>
    <w:rsid w:val="00117B29"/>
    <w:rsid w:val="00120FCB"/>
    <w:rsid w:val="00126078"/>
    <w:rsid w:val="00127CAD"/>
    <w:rsid w:val="00133130"/>
    <w:rsid w:val="00134C8B"/>
    <w:rsid w:val="00152908"/>
    <w:rsid w:val="001553C6"/>
    <w:rsid w:val="00164C5C"/>
    <w:rsid w:val="0018480A"/>
    <w:rsid w:val="00195543"/>
    <w:rsid w:val="001A73FD"/>
    <w:rsid w:val="001C2AB7"/>
    <w:rsid w:val="001D2388"/>
    <w:rsid w:val="001E0C8C"/>
    <w:rsid w:val="001F3280"/>
    <w:rsid w:val="001F4638"/>
    <w:rsid w:val="001F6553"/>
    <w:rsid w:val="002020E9"/>
    <w:rsid w:val="00207C7E"/>
    <w:rsid w:val="00216163"/>
    <w:rsid w:val="00220321"/>
    <w:rsid w:val="0023315B"/>
    <w:rsid w:val="00242EE7"/>
    <w:rsid w:val="00246B78"/>
    <w:rsid w:val="00250C67"/>
    <w:rsid w:val="00251C5E"/>
    <w:rsid w:val="00252DE9"/>
    <w:rsid w:val="0025524F"/>
    <w:rsid w:val="00262ED3"/>
    <w:rsid w:val="002630A3"/>
    <w:rsid w:val="0026423F"/>
    <w:rsid w:val="00266E3E"/>
    <w:rsid w:val="002721CE"/>
    <w:rsid w:val="00276A62"/>
    <w:rsid w:val="00284602"/>
    <w:rsid w:val="00285D23"/>
    <w:rsid w:val="002914D5"/>
    <w:rsid w:val="00292167"/>
    <w:rsid w:val="00297CBF"/>
    <w:rsid w:val="002C0128"/>
    <w:rsid w:val="002D2F9B"/>
    <w:rsid w:val="002D30DD"/>
    <w:rsid w:val="002D6F38"/>
    <w:rsid w:val="002D6F57"/>
    <w:rsid w:val="002E0F92"/>
    <w:rsid w:val="002E1C67"/>
    <w:rsid w:val="002E535C"/>
    <w:rsid w:val="002F591F"/>
    <w:rsid w:val="002F6F96"/>
    <w:rsid w:val="00305343"/>
    <w:rsid w:val="00307F3C"/>
    <w:rsid w:val="003118BF"/>
    <w:rsid w:val="003245CC"/>
    <w:rsid w:val="00340736"/>
    <w:rsid w:val="00344725"/>
    <w:rsid w:val="003530E2"/>
    <w:rsid w:val="00366542"/>
    <w:rsid w:val="003714A7"/>
    <w:rsid w:val="00377A75"/>
    <w:rsid w:val="00390FFF"/>
    <w:rsid w:val="003B36D1"/>
    <w:rsid w:val="003C1F93"/>
    <w:rsid w:val="003C42C5"/>
    <w:rsid w:val="003D3D63"/>
    <w:rsid w:val="003E748D"/>
    <w:rsid w:val="003E7E8F"/>
    <w:rsid w:val="003F2644"/>
    <w:rsid w:val="003F4076"/>
    <w:rsid w:val="0040112C"/>
    <w:rsid w:val="004058CA"/>
    <w:rsid w:val="0040647E"/>
    <w:rsid w:val="004219E5"/>
    <w:rsid w:val="00426171"/>
    <w:rsid w:val="00426CDF"/>
    <w:rsid w:val="004310A5"/>
    <w:rsid w:val="0044145B"/>
    <w:rsid w:val="00443894"/>
    <w:rsid w:val="004519A9"/>
    <w:rsid w:val="00451AB7"/>
    <w:rsid w:val="00454999"/>
    <w:rsid w:val="004674BA"/>
    <w:rsid w:val="004712A2"/>
    <w:rsid w:val="00484E2B"/>
    <w:rsid w:val="00485A45"/>
    <w:rsid w:val="00490AAA"/>
    <w:rsid w:val="00491B5B"/>
    <w:rsid w:val="00497DC6"/>
    <w:rsid w:val="004A01B8"/>
    <w:rsid w:val="004A3BD7"/>
    <w:rsid w:val="004A6099"/>
    <w:rsid w:val="004C09FA"/>
    <w:rsid w:val="004C6B65"/>
    <w:rsid w:val="004E2150"/>
    <w:rsid w:val="004F215E"/>
    <w:rsid w:val="004F5E87"/>
    <w:rsid w:val="005034FF"/>
    <w:rsid w:val="00512163"/>
    <w:rsid w:val="00517746"/>
    <w:rsid w:val="0052057A"/>
    <w:rsid w:val="005242A2"/>
    <w:rsid w:val="00531EC0"/>
    <w:rsid w:val="005552C6"/>
    <w:rsid w:val="00555F54"/>
    <w:rsid w:val="00562605"/>
    <w:rsid w:val="00565F9A"/>
    <w:rsid w:val="005668B4"/>
    <w:rsid w:val="00567544"/>
    <w:rsid w:val="00567602"/>
    <w:rsid w:val="00577EDE"/>
    <w:rsid w:val="00581F3F"/>
    <w:rsid w:val="00583672"/>
    <w:rsid w:val="00584351"/>
    <w:rsid w:val="005857E8"/>
    <w:rsid w:val="00593A24"/>
    <w:rsid w:val="0059637A"/>
    <w:rsid w:val="005976AF"/>
    <w:rsid w:val="005A057A"/>
    <w:rsid w:val="005C205A"/>
    <w:rsid w:val="005C27F4"/>
    <w:rsid w:val="005C7076"/>
    <w:rsid w:val="005D0000"/>
    <w:rsid w:val="005D3C52"/>
    <w:rsid w:val="005D43F9"/>
    <w:rsid w:val="005D67B0"/>
    <w:rsid w:val="005E0853"/>
    <w:rsid w:val="005E7D80"/>
    <w:rsid w:val="005F1A40"/>
    <w:rsid w:val="005F5CAC"/>
    <w:rsid w:val="00602D98"/>
    <w:rsid w:val="006030DE"/>
    <w:rsid w:val="0061093F"/>
    <w:rsid w:val="00615B88"/>
    <w:rsid w:val="0062017F"/>
    <w:rsid w:val="0062277C"/>
    <w:rsid w:val="00623EFD"/>
    <w:rsid w:val="00644017"/>
    <w:rsid w:val="006612A9"/>
    <w:rsid w:val="006779B1"/>
    <w:rsid w:val="006A4742"/>
    <w:rsid w:val="006A5D87"/>
    <w:rsid w:val="006C081C"/>
    <w:rsid w:val="006D1B2C"/>
    <w:rsid w:val="006D4187"/>
    <w:rsid w:val="006E2A6D"/>
    <w:rsid w:val="006E43EE"/>
    <w:rsid w:val="007005CD"/>
    <w:rsid w:val="00707B6F"/>
    <w:rsid w:val="007102EF"/>
    <w:rsid w:val="00711D4F"/>
    <w:rsid w:val="00713243"/>
    <w:rsid w:val="00713ECE"/>
    <w:rsid w:val="00737939"/>
    <w:rsid w:val="007407DA"/>
    <w:rsid w:val="0074694B"/>
    <w:rsid w:val="00752BC7"/>
    <w:rsid w:val="00765101"/>
    <w:rsid w:val="00772CDA"/>
    <w:rsid w:val="00775A1D"/>
    <w:rsid w:val="00783BBF"/>
    <w:rsid w:val="0079257E"/>
    <w:rsid w:val="007B1242"/>
    <w:rsid w:val="007B30A4"/>
    <w:rsid w:val="007B4B18"/>
    <w:rsid w:val="007C2FF8"/>
    <w:rsid w:val="007E06CF"/>
    <w:rsid w:val="00800B34"/>
    <w:rsid w:val="0080383E"/>
    <w:rsid w:val="00806977"/>
    <w:rsid w:val="0081303E"/>
    <w:rsid w:val="008245E9"/>
    <w:rsid w:val="00826D6D"/>
    <w:rsid w:val="008354CA"/>
    <w:rsid w:val="00837E7A"/>
    <w:rsid w:val="008535FD"/>
    <w:rsid w:val="00857976"/>
    <w:rsid w:val="00861FB2"/>
    <w:rsid w:val="008725E1"/>
    <w:rsid w:val="00873A59"/>
    <w:rsid w:val="00877377"/>
    <w:rsid w:val="00893DD2"/>
    <w:rsid w:val="008A454E"/>
    <w:rsid w:val="008A7FAE"/>
    <w:rsid w:val="008B5166"/>
    <w:rsid w:val="008C58E5"/>
    <w:rsid w:val="008D0243"/>
    <w:rsid w:val="008D648D"/>
    <w:rsid w:val="008E2792"/>
    <w:rsid w:val="0091021C"/>
    <w:rsid w:val="009170F4"/>
    <w:rsid w:val="00922E35"/>
    <w:rsid w:val="009241A7"/>
    <w:rsid w:val="00927980"/>
    <w:rsid w:val="009322E6"/>
    <w:rsid w:val="0094003F"/>
    <w:rsid w:val="00950D4B"/>
    <w:rsid w:val="00966CD3"/>
    <w:rsid w:val="009771C2"/>
    <w:rsid w:val="00980444"/>
    <w:rsid w:val="00983709"/>
    <w:rsid w:val="009A1213"/>
    <w:rsid w:val="009A2BDE"/>
    <w:rsid w:val="009B31BC"/>
    <w:rsid w:val="009B4679"/>
    <w:rsid w:val="009C1ADE"/>
    <w:rsid w:val="00A1579D"/>
    <w:rsid w:val="00A15849"/>
    <w:rsid w:val="00A302D2"/>
    <w:rsid w:val="00A51630"/>
    <w:rsid w:val="00A54378"/>
    <w:rsid w:val="00A82710"/>
    <w:rsid w:val="00A8332D"/>
    <w:rsid w:val="00A94050"/>
    <w:rsid w:val="00A94D1E"/>
    <w:rsid w:val="00AB00A9"/>
    <w:rsid w:val="00AC2759"/>
    <w:rsid w:val="00AC6F01"/>
    <w:rsid w:val="00AD3BB5"/>
    <w:rsid w:val="00AF24DB"/>
    <w:rsid w:val="00AF2726"/>
    <w:rsid w:val="00AF4D3D"/>
    <w:rsid w:val="00B064BB"/>
    <w:rsid w:val="00B12862"/>
    <w:rsid w:val="00B23F8A"/>
    <w:rsid w:val="00B32BA5"/>
    <w:rsid w:val="00B332FF"/>
    <w:rsid w:val="00B41D14"/>
    <w:rsid w:val="00B55F30"/>
    <w:rsid w:val="00B6295A"/>
    <w:rsid w:val="00B63201"/>
    <w:rsid w:val="00B63553"/>
    <w:rsid w:val="00B662D5"/>
    <w:rsid w:val="00B70806"/>
    <w:rsid w:val="00B75B83"/>
    <w:rsid w:val="00B84BA6"/>
    <w:rsid w:val="00B85850"/>
    <w:rsid w:val="00B90776"/>
    <w:rsid w:val="00B91F8C"/>
    <w:rsid w:val="00B93110"/>
    <w:rsid w:val="00BA4932"/>
    <w:rsid w:val="00BC556B"/>
    <w:rsid w:val="00BD2F56"/>
    <w:rsid w:val="00BE67DA"/>
    <w:rsid w:val="00C03074"/>
    <w:rsid w:val="00C05C72"/>
    <w:rsid w:val="00C20AAC"/>
    <w:rsid w:val="00C23384"/>
    <w:rsid w:val="00C33C01"/>
    <w:rsid w:val="00C345B8"/>
    <w:rsid w:val="00C51DE0"/>
    <w:rsid w:val="00C55C35"/>
    <w:rsid w:val="00C66D21"/>
    <w:rsid w:val="00C726D3"/>
    <w:rsid w:val="00C81D30"/>
    <w:rsid w:val="00C8690E"/>
    <w:rsid w:val="00C934AE"/>
    <w:rsid w:val="00CA4143"/>
    <w:rsid w:val="00CA55C9"/>
    <w:rsid w:val="00CB2A38"/>
    <w:rsid w:val="00CB5780"/>
    <w:rsid w:val="00CC2345"/>
    <w:rsid w:val="00CC64F6"/>
    <w:rsid w:val="00CD04E6"/>
    <w:rsid w:val="00CE0321"/>
    <w:rsid w:val="00CE324A"/>
    <w:rsid w:val="00CE34BC"/>
    <w:rsid w:val="00CE5CC4"/>
    <w:rsid w:val="00CF082E"/>
    <w:rsid w:val="00CF2CAF"/>
    <w:rsid w:val="00CF70F3"/>
    <w:rsid w:val="00D026CA"/>
    <w:rsid w:val="00D06A1D"/>
    <w:rsid w:val="00D235F9"/>
    <w:rsid w:val="00D26F00"/>
    <w:rsid w:val="00D301E3"/>
    <w:rsid w:val="00D43CE0"/>
    <w:rsid w:val="00D4422B"/>
    <w:rsid w:val="00D80416"/>
    <w:rsid w:val="00D86B85"/>
    <w:rsid w:val="00D93019"/>
    <w:rsid w:val="00D9388C"/>
    <w:rsid w:val="00DB0A35"/>
    <w:rsid w:val="00DB2D86"/>
    <w:rsid w:val="00DB4731"/>
    <w:rsid w:val="00DD1178"/>
    <w:rsid w:val="00DE6718"/>
    <w:rsid w:val="00E020BF"/>
    <w:rsid w:val="00E13DCA"/>
    <w:rsid w:val="00E1533E"/>
    <w:rsid w:val="00E21BB4"/>
    <w:rsid w:val="00E23744"/>
    <w:rsid w:val="00E30631"/>
    <w:rsid w:val="00E35515"/>
    <w:rsid w:val="00E35FB1"/>
    <w:rsid w:val="00E42066"/>
    <w:rsid w:val="00E45DF2"/>
    <w:rsid w:val="00E54004"/>
    <w:rsid w:val="00E61647"/>
    <w:rsid w:val="00E7490B"/>
    <w:rsid w:val="00E7683F"/>
    <w:rsid w:val="00E91FC7"/>
    <w:rsid w:val="00EA4114"/>
    <w:rsid w:val="00EA5F8C"/>
    <w:rsid w:val="00EA7A33"/>
    <w:rsid w:val="00EB3C5B"/>
    <w:rsid w:val="00EB50C8"/>
    <w:rsid w:val="00EC0AE2"/>
    <w:rsid w:val="00EC2EFF"/>
    <w:rsid w:val="00EC61D5"/>
    <w:rsid w:val="00EC64E2"/>
    <w:rsid w:val="00ED03BD"/>
    <w:rsid w:val="00ED10BF"/>
    <w:rsid w:val="00ED5FFC"/>
    <w:rsid w:val="00ED680F"/>
    <w:rsid w:val="00EE3F55"/>
    <w:rsid w:val="00EF7D6F"/>
    <w:rsid w:val="00F0069F"/>
    <w:rsid w:val="00F074A2"/>
    <w:rsid w:val="00F15CBF"/>
    <w:rsid w:val="00F214C7"/>
    <w:rsid w:val="00F253A2"/>
    <w:rsid w:val="00F25747"/>
    <w:rsid w:val="00F30CDB"/>
    <w:rsid w:val="00F36AB5"/>
    <w:rsid w:val="00F37AF2"/>
    <w:rsid w:val="00F46F7E"/>
    <w:rsid w:val="00F71069"/>
    <w:rsid w:val="00F7478D"/>
    <w:rsid w:val="00F776D5"/>
    <w:rsid w:val="00F83EF7"/>
    <w:rsid w:val="00F85EBC"/>
    <w:rsid w:val="00F86344"/>
    <w:rsid w:val="00F92B30"/>
    <w:rsid w:val="00FB5E7D"/>
    <w:rsid w:val="00FB7C29"/>
    <w:rsid w:val="00FC4049"/>
    <w:rsid w:val="00FC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92"/>
    <w:pPr>
      <w:spacing w:after="160"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27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2792"/>
    <w:rPr>
      <w:rFonts w:eastAsia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E279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E279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8E27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8E279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8E2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8E279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1408</Words>
  <Characters>8027</Characters>
  <Application>Microsoft Office Word</Application>
  <DocSecurity>0</DocSecurity>
  <Lines>66</Lines>
  <Paragraphs>18</Paragraphs>
  <ScaleCrop>false</ScaleCrop>
  <Company>Элинар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shitkina</dc:creator>
  <cp:keywords/>
  <dc:description/>
  <cp:lastModifiedBy>shitkina</cp:lastModifiedBy>
  <cp:revision>2</cp:revision>
  <dcterms:created xsi:type="dcterms:W3CDTF">2018-07-06T20:02:00Z</dcterms:created>
  <dcterms:modified xsi:type="dcterms:W3CDTF">2018-07-06T20:02:00Z</dcterms:modified>
</cp:coreProperties>
</file>